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DB1447" w:rsidP="00C2373B">
      <w:pPr>
        <w:pStyle w:val="Title"/>
        <w:ind w:left="6237"/>
        <w:jc w:val="lef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C2373B">
      <w:pPr>
        <w:pStyle w:val="Title"/>
        <w:ind w:left="6237"/>
        <w:jc w:val="left"/>
        <w:rPr>
          <w:b w:val="0"/>
          <w:szCs w:val="24"/>
        </w:rPr>
      </w:pPr>
      <w:r w:rsidRPr="00232893">
        <w:rPr>
          <w:b w:val="0"/>
          <w:szCs w:val="24"/>
        </w:rPr>
        <w:t xml:space="preserve">                           </w:t>
      </w:r>
      <w:r w:rsidR="005462F1">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2B49BA">
        <w:rPr>
          <w:b w:val="0"/>
          <w:szCs w:val="24"/>
        </w:rPr>
        <w:t>23.jūlijā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DA7276" w:rsidRPr="00DA7276">
        <w:rPr>
          <w:b/>
          <w:color w:val="000000"/>
        </w:rPr>
        <w:t>71</w:t>
      </w:r>
    </w:p>
    <w:p w:rsidR="00291EAA" w:rsidRPr="00291EAA" w:rsidRDefault="00291EAA" w:rsidP="00291EAA">
      <w:pPr>
        <w:ind w:firstLine="720"/>
        <w:jc w:val="both"/>
      </w:pPr>
      <w:r w:rsidRPr="00291EAA">
        <w:t xml:space="preserve">Iepirkuma paredzamā līgumcena ir līdz 20 000,00 EUR (divdesmit tūkstoši </w:t>
      </w:r>
      <w:r w:rsidRPr="00291EAA">
        <w:rPr>
          <w:i/>
        </w:rPr>
        <w:t>euro</w:t>
      </w:r>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r w:rsidRPr="00291EAA">
        <w:rPr>
          <w:i/>
        </w:rPr>
        <w:t>euro</w:t>
      </w:r>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C16F8D">
        <w:rPr>
          <w:rFonts w:ascii="Times New Roman" w:hAnsi="Times New Roman"/>
          <w:b w:val="0"/>
          <w:szCs w:val="24"/>
        </w:rPr>
        <w:t>Iļģuciema cietuma kanalizācijas avārijas remonts</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Ieslodzījuma vietu pārvaldes Iļģuciema cietums Tvaikoņu iela 3, Rīga, LV-1007</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Pr>
          <w:rFonts w:ascii="Times New Roman" w:hAnsi="Times New Roman"/>
          <w:b w:val="0"/>
          <w:szCs w:val="24"/>
        </w:rPr>
        <w:t xml:space="preserve">1 (viens) mēnesis </w:t>
      </w:r>
      <w:r w:rsidR="0099709E" w:rsidRPr="00075CA6">
        <w:rPr>
          <w:rFonts w:ascii="Times New Roman" w:hAnsi="Times New Roman"/>
          <w:b w:val="0"/>
          <w:szCs w:val="24"/>
        </w:rPr>
        <w:t>no līguma noslēgšanas brīža.</w:t>
      </w:r>
      <w:r w:rsidR="00AD7126">
        <w:rPr>
          <w:rFonts w:ascii="Times New Roman" w:hAnsi="Times New Roman"/>
          <w:b w:val="0"/>
          <w:szCs w:val="24"/>
        </w:rPr>
        <w:t xml:space="preserve"> </w:t>
      </w:r>
      <w:r w:rsidR="00AD7126" w:rsidRPr="00AD7126">
        <w:rPr>
          <w:rFonts w:ascii="Times New Roman" w:hAnsi="Times New Roman"/>
          <w:b w:val="0"/>
          <w:i/>
          <w:szCs w:val="24"/>
        </w:rPr>
        <w:t xml:space="preserve">euro </w:t>
      </w:r>
      <w:r w:rsidR="00AD7126">
        <w:rPr>
          <w:rFonts w:ascii="Times New Roman" w:hAnsi="Times New Roman"/>
          <w:b w:val="0"/>
          <w:szCs w:val="24"/>
        </w:rPr>
        <w:t xml:space="preserve">un 00 </w:t>
      </w:r>
      <w:r w:rsidR="00AD7126" w:rsidRPr="00AD7126">
        <w:rPr>
          <w:rFonts w:ascii="Times New Roman" w:hAnsi="Times New Roman"/>
          <w:b w:val="0"/>
          <w:i/>
          <w:szCs w:val="24"/>
        </w:rPr>
        <w:t>centi</w:t>
      </w:r>
      <w:r w:rsidR="00AD7126">
        <w:rPr>
          <w:rFonts w:ascii="Times New Roman" w:hAnsi="Times New Roman"/>
          <w:b w:val="0"/>
          <w:szCs w:val="24"/>
        </w:rPr>
        <w:t>)</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r w:rsidR="00AD7126" w:rsidRPr="00AD7126">
        <w:rPr>
          <w:color w:val="000000"/>
        </w:rPr>
        <w:t>Paredzamā līgumcena ir līdz 5000,00 EUR (pieci tūkstoši euro un 00 centi)</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10.2. apliecinājums, ka pretendents reģistrēts būvkomersanta reģistra;</w:t>
      </w:r>
    </w:p>
    <w:p w:rsidR="003A4AB0" w:rsidRPr="003A4AB0" w:rsidRDefault="003A4AB0" w:rsidP="003A4AB0">
      <w:pPr>
        <w:jc w:val="both"/>
        <w:rPr>
          <w:iCs/>
        </w:rPr>
      </w:pPr>
      <w:r w:rsidRPr="003A4AB0">
        <w:rPr>
          <w:iCs/>
        </w:rPr>
        <w:t>10.3. saraksts par pretendenta pēdējos 3 (trīs) gados veiktajiem remontdarbiem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3A4AB0" w:rsidRPr="003A4AB0" w:rsidRDefault="003A4AB0" w:rsidP="003A4AB0">
      <w:pPr>
        <w:jc w:val="both"/>
        <w:rPr>
          <w:iCs/>
        </w:rPr>
      </w:pPr>
      <w:r w:rsidRPr="003A4AB0">
        <w:rPr>
          <w:iCs/>
        </w:rPr>
        <w:t>10.6. Pretendentiem jāiesniedz Darbu izpildes tāme atbilstoši Ministru kabineta 2017.gada 3.maija noteikumiem Nr. 239  "Noteikumi par Latvijas būvnormatīvu LBN 501-17 "Būvizmaksu noteikšanas kārtība"".</w:t>
      </w:r>
    </w:p>
    <w:p w:rsidR="003A4AB0" w:rsidRPr="003A4AB0" w:rsidRDefault="003A4AB0" w:rsidP="003A4AB0">
      <w:pPr>
        <w:jc w:val="both"/>
        <w:rPr>
          <w:iCs/>
        </w:rPr>
      </w:pPr>
      <w:r w:rsidRPr="003A4AB0">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26. jūlijam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3A4AB0" w:rsidRDefault="003A4AB0" w:rsidP="003A4AB0">
      <w:pPr>
        <w:jc w:val="both"/>
        <w:rPr>
          <w:lang w:eastAsia="lv-LV"/>
        </w:rPr>
      </w:pPr>
      <w:r w:rsidRPr="003A4AB0">
        <w:rPr>
          <w:lang w:eastAsia="lv-LV"/>
        </w:rPr>
        <w:t xml:space="preserve">Pasūtītājs rīko pretendentu sanāksmi plānotā objekta apskatei </w:t>
      </w:r>
      <w:r w:rsidR="00A571AA" w:rsidRPr="00A571AA">
        <w:rPr>
          <w:lang w:eastAsia="lv-LV"/>
        </w:rPr>
        <w:t>Iļģuciema cietuma kanalizācijas avārijas remonts Tvaikoņu iela 3</w:t>
      </w:r>
      <w:r w:rsidR="00A571AA">
        <w:rPr>
          <w:lang w:eastAsia="lv-LV"/>
        </w:rPr>
        <w:t>.</w:t>
      </w:r>
      <w:r w:rsidR="003F63FA">
        <w:rPr>
          <w:lang w:eastAsia="lv-LV"/>
        </w:rPr>
        <w:t xml:space="preserve"> </w:t>
      </w:r>
      <w:r w:rsidRPr="003A4AB0">
        <w:rPr>
          <w:lang w:eastAsia="lv-LV"/>
        </w:rPr>
        <w:t>Papildus informācija pie kontaktpersonas –</w:t>
      </w:r>
      <w:r w:rsidRPr="003A4AB0">
        <w:t xml:space="preserve"> </w:t>
      </w:r>
      <w:r w:rsidRPr="003A4AB0">
        <w:rPr>
          <w:lang w:eastAsia="lv-LV"/>
        </w:rPr>
        <w:t xml:space="preserve">Ieslodzījuma vietu pārvaldes </w:t>
      </w:r>
      <w:r w:rsidR="003F63FA" w:rsidRPr="003F63FA">
        <w:rPr>
          <w:lang w:eastAsia="lv-LV"/>
        </w:rPr>
        <w:t>Iļģuciema cietuma Nodrošinājuma daļas tehniskais inspektors</w:t>
      </w:r>
      <w:r w:rsidRPr="003A4AB0">
        <w:rPr>
          <w:lang w:eastAsia="lv-LV"/>
        </w:rPr>
        <w:t xml:space="preserve"> </w:t>
      </w:r>
      <w:r w:rsidR="003F63FA" w:rsidRPr="003F63FA">
        <w:rPr>
          <w:lang w:eastAsia="lv-LV"/>
        </w:rPr>
        <w:t>Vladimirs Kaigorodovs</w:t>
      </w:r>
      <w:r w:rsidRPr="003A4AB0">
        <w:rPr>
          <w:lang w:eastAsia="lv-LV"/>
        </w:rPr>
        <w:t>, t.</w:t>
      </w:r>
      <w:r w:rsidR="003F63FA" w:rsidRPr="003F63FA">
        <w:rPr>
          <w:lang w:eastAsia="lv-LV"/>
        </w:rPr>
        <w:t>67815800</w:t>
      </w:r>
      <w:r w:rsidRPr="003A4AB0">
        <w:rPr>
          <w:lang w:eastAsia="lv-LV"/>
        </w:rPr>
        <w:t>, e-</w:t>
      </w:r>
      <w:r w:rsidR="002B49BA">
        <w:rPr>
          <w:lang w:eastAsia="lv-LV"/>
        </w:rPr>
        <w:t> </w:t>
      </w:r>
      <w:r w:rsidRPr="003A4AB0">
        <w:rPr>
          <w:lang w:eastAsia="lv-LV"/>
        </w:rPr>
        <w:t xml:space="preserve">pasta adrese: </w:t>
      </w:r>
      <w:hyperlink r:id="rId9" w:history="1">
        <w:r w:rsidR="003F63FA" w:rsidRPr="003F63FA">
          <w:rPr>
            <w:rStyle w:val="Hyperlink"/>
            <w:lang w:eastAsia="lv-LV"/>
          </w:rPr>
          <w:t>vladimirs.kaigorodovs@ievp.gov.lv</w:t>
        </w:r>
      </w:hyperlink>
      <w:r w:rsidR="003F63FA" w:rsidRPr="003F63FA">
        <w:rPr>
          <w:lang w:eastAsia="lv-LV"/>
        </w:rPr>
        <w:t xml:space="preserve"> </w:t>
      </w:r>
      <w:r w:rsidRPr="003A4AB0">
        <w:rPr>
          <w:lang w:eastAsia="lv-LV"/>
        </w:rPr>
        <w:t>.</w:t>
      </w:r>
    </w:p>
    <w:p w:rsidR="003A4AB0" w:rsidRPr="003A4AB0" w:rsidRDefault="003A4AB0" w:rsidP="003A4AB0">
      <w:pPr>
        <w:ind w:firstLine="720"/>
        <w:jc w:val="both"/>
        <w:rPr>
          <w:b/>
          <w:u w:val="single"/>
          <w:lang w:eastAsia="lv-LV"/>
        </w:rPr>
      </w:pPr>
    </w:p>
    <w:p w:rsidR="003A4AB0" w:rsidRPr="003A4AB0" w:rsidRDefault="003A4AB0" w:rsidP="003A4AB0">
      <w:pPr>
        <w:ind w:firstLine="720"/>
        <w:jc w:val="both"/>
        <w:rPr>
          <w:b/>
          <w:lang w:eastAsia="lv-LV"/>
        </w:rPr>
      </w:pPr>
      <w:r w:rsidRPr="003A4AB0">
        <w:rPr>
          <w:b/>
          <w:u w:val="single"/>
          <w:lang w:eastAsia="lv-LV"/>
        </w:rPr>
        <w:t>Visiem pretendentiem jāveic objekta apskate, lai objektīvi novērtētu veicamos darbus.</w:t>
      </w:r>
      <w:r w:rsidRPr="003A4AB0">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71</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C734FD" w:rsidRDefault="00291EAA" w:rsidP="00AD7126">
      <w:pPr>
        <w:jc w:val="center"/>
      </w:pPr>
      <w:r w:rsidRPr="00291EAA">
        <w:t>Iļģuciema cietuma kanalizācijas avārijas remonts</w:t>
      </w:r>
    </w:p>
    <w:p w:rsidR="00C734FD" w:rsidRDefault="00C734FD"/>
    <w:tbl>
      <w:tblPr>
        <w:tblStyle w:val="TableGrid"/>
        <w:tblW w:w="9918" w:type="dxa"/>
        <w:tblLayout w:type="fixed"/>
        <w:tblLook w:val="04A0" w:firstRow="1" w:lastRow="0" w:firstColumn="1" w:lastColumn="0" w:noHBand="0" w:noVBand="1"/>
      </w:tblPr>
      <w:tblGrid>
        <w:gridCol w:w="982"/>
        <w:gridCol w:w="998"/>
        <w:gridCol w:w="4819"/>
        <w:gridCol w:w="1560"/>
        <w:gridCol w:w="1559"/>
      </w:tblGrid>
      <w:tr w:rsidR="00C110ED" w:rsidRPr="00545459" w:rsidTr="00AD7126">
        <w:trPr>
          <w:trHeight w:val="495"/>
        </w:trPr>
        <w:tc>
          <w:tcPr>
            <w:tcW w:w="982" w:type="dxa"/>
            <w:vMerge w:val="restart"/>
            <w:textDirection w:val="btLr"/>
            <w:vAlign w:val="center"/>
            <w:hideMark/>
          </w:tcPr>
          <w:p w:rsidR="00C110ED" w:rsidRPr="00545459" w:rsidRDefault="00C110ED" w:rsidP="00AD7126">
            <w:pPr>
              <w:jc w:val="center"/>
              <w:rPr>
                <w:b/>
                <w:bCs/>
                <w:sz w:val="20"/>
                <w:szCs w:val="20"/>
              </w:rPr>
            </w:pPr>
            <w:r w:rsidRPr="00545459">
              <w:rPr>
                <w:b/>
                <w:bCs/>
                <w:sz w:val="20"/>
                <w:szCs w:val="20"/>
              </w:rPr>
              <w:t>Nr. p. k.</w:t>
            </w:r>
          </w:p>
        </w:tc>
        <w:tc>
          <w:tcPr>
            <w:tcW w:w="998" w:type="dxa"/>
            <w:vMerge w:val="restart"/>
            <w:textDirection w:val="btLr"/>
            <w:vAlign w:val="center"/>
            <w:hideMark/>
          </w:tcPr>
          <w:p w:rsidR="00C110ED" w:rsidRPr="00545459" w:rsidRDefault="00C110ED" w:rsidP="00AD7126">
            <w:pPr>
              <w:jc w:val="center"/>
              <w:rPr>
                <w:b/>
                <w:bCs/>
                <w:sz w:val="20"/>
                <w:szCs w:val="20"/>
              </w:rPr>
            </w:pPr>
            <w:r w:rsidRPr="00545459">
              <w:rPr>
                <w:b/>
                <w:bCs/>
                <w:sz w:val="20"/>
                <w:szCs w:val="20"/>
              </w:rPr>
              <w:t>Kods</w:t>
            </w:r>
          </w:p>
        </w:tc>
        <w:tc>
          <w:tcPr>
            <w:tcW w:w="4819" w:type="dxa"/>
            <w:vMerge w:val="restart"/>
            <w:vAlign w:val="center"/>
            <w:hideMark/>
          </w:tcPr>
          <w:p w:rsidR="00C110ED" w:rsidRPr="00545459" w:rsidRDefault="00C110ED" w:rsidP="00AD7126">
            <w:pPr>
              <w:jc w:val="center"/>
              <w:rPr>
                <w:b/>
                <w:bCs/>
                <w:sz w:val="20"/>
                <w:szCs w:val="20"/>
              </w:rPr>
            </w:pPr>
            <w:r w:rsidRPr="00545459">
              <w:rPr>
                <w:b/>
                <w:bCs/>
                <w:sz w:val="20"/>
                <w:szCs w:val="20"/>
              </w:rPr>
              <w:t xml:space="preserve">Darba </w:t>
            </w:r>
            <w:r w:rsidRPr="00545459">
              <w:rPr>
                <w:b/>
                <w:bCs/>
                <w:sz w:val="20"/>
                <w:szCs w:val="20"/>
              </w:rPr>
              <w:br/>
              <w:t>nosaukums</w:t>
            </w:r>
          </w:p>
        </w:tc>
        <w:tc>
          <w:tcPr>
            <w:tcW w:w="1560" w:type="dxa"/>
            <w:vMerge w:val="restart"/>
            <w:textDirection w:val="btLr"/>
            <w:vAlign w:val="center"/>
            <w:hideMark/>
          </w:tcPr>
          <w:p w:rsidR="00C110ED" w:rsidRPr="00545459" w:rsidRDefault="00C110ED" w:rsidP="00AD7126">
            <w:pPr>
              <w:jc w:val="center"/>
              <w:rPr>
                <w:b/>
                <w:bCs/>
                <w:sz w:val="20"/>
                <w:szCs w:val="20"/>
              </w:rPr>
            </w:pPr>
            <w:r w:rsidRPr="00545459">
              <w:rPr>
                <w:b/>
                <w:bCs/>
                <w:sz w:val="20"/>
                <w:szCs w:val="20"/>
              </w:rPr>
              <w:t>Mērvienība</w:t>
            </w:r>
          </w:p>
        </w:tc>
        <w:tc>
          <w:tcPr>
            <w:tcW w:w="1559" w:type="dxa"/>
            <w:vMerge w:val="restart"/>
            <w:textDirection w:val="btLr"/>
            <w:vAlign w:val="center"/>
            <w:hideMark/>
          </w:tcPr>
          <w:p w:rsidR="00C110ED" w:rsidRPr="00545459" w:rsidRDefault="00C110ED" w:rsidP="00AD7126">
            <w:pPr>
              <w:jc w:val="center"/>
              <w:rPr>
                <w:b/>
                <w:bCs/>
                <w:sz w:val="20"/>
                <w:szCs w:val="20"/>
              </w:rPr>
            </w:pPr>
            <w:r w:rsidRPr="00545459">
              <w:rPr>
                <w:b/>
                <w:bCs/>
                <w:sz w:val="20"/>
                <w:szCs w:val="20"/>
              </w:rPr>
              <w:t>Daudzums</w:t>
            </w:r>
          </w:p>
        </w:tc>
      </w:tr>
      <w:tr w:rsidR="00C110ED" w:rsidRPr="00545459" w:rsidTr="00AD7126">
        <w:trPr>
          <w:trHeight w:val="1026"/>
        </w:trPr>
        <w:tc>
          <w:tcPr>
            <w:tcW w:w="982" w:type="dxa"/>
            <w:vMerge/>
            <w:hideMark/>
          </w:tcPr>
          <w:p w:rsidR="00C110ED" w:rsidRPr="00545459" w:rsidRDefault="00C110ED" w:rsidP="00E90817">
            <w:pPr>
              <w:rPr>
                <w:b/>
                <w:bCs/>
                <w:sz w:val="20"/>
                <w:szCs w:val="20"/>
              </w:rPr>
            </w:pPr>
          </w:p>
        </w:tc>
        <w:tc>
          <w:tcPr>
            <w:tcW w:w="998" w:type="dxa"/>
            <w:vMerge/>
            <w:hideMark/>
          </w:tcPr>
          <w:p w:rsidR="00C110ED" w:rsidRPr="00545459" w:rsidRDefault="00C110ED" w:rsidP="00E90817">
            <w:pPr>
              <w:rPr>
                <w:b/>
                <w:bCs/>
                <w:sz w:val="20"/>
                <w:szCs w:val="20"/>
              </w:rPr>
            </w:pPr>
          </w:p>
        </w:tc>
        <w:tc>
          <w:tcPr>
            <w:tcW w:w="4819" w:type="dxa"/>
            <w:vMerge/>
            <w:hideMark/>
          </w:tcPr>
          <w:p w:rsidR="00C110ED" w:rsidRPr="00545459" w:rsidRDefault="00C110ED" w:rsidP="00E90817">
            <w:pPr>
              <w:rPr>
                <w:b/>
                <w:bCs/>
                <w:sz w:val="20"/>
                <w:szCs w:val="20"/>
              </w:rPr>
            </w:pPr>
          </w:p>
        </w:tc>
        <w:tc>
          <w:tcPr>
            <w:tcW w:w="1560" w:type="dxa"/>
            <w:vMerge/>
            <w:vAlign w:val="center"/>
            <w:hideMark/>
          </w:tcPr>
          <w:p w:rsidR="00C110ED" w:rsidRPr="00545459" w:rsidRDefault="00C110ED" w:rsidP="00AD7126">
            <w:pPr>
              <w:jc w:val="center"/>
              <w:rPr>
                <w:b/>
                <w:bCs/>
                <w:sz w:val="20"/>
                <w:szCs w:val="20"/>
              </w:rPr>
            </w:pPr>
          </w:p>
        </w:tc>
        <w:tc>
          <w:tcPr>
            <w:tcW w:w="1559" w:type="dxa"/>
            <w:vMerge/>
            <w:vAlign w:val="center"/>
            <w:hideMark/>
          </w:tcPr>
          <w:p w:rsidR="00C110ED" w:rsidRPr="00545459" w:rsidRDefault="00C110ED" w:rsidP="00AD7126">
            <w:pPr>
              <w:jc w:val="center"/>
              <w:rPr>
                <w:b/>
                <w:bCs/>
                <w:sz w:val="20"/>
                <w:szCs w:val="20"/>
              </w:rPr>
            </w:pPr>
          </w:p>
        </w:tc>
      </w:tr>
      <w:tr w:rsidR="00C110ED" w:rsidRPr="00545459" w:rsidTr="00AD7126">
        <w:trPr>
          <w:trHeight w:val="315"/>
        </w:trPr>
        <w:tc>
          <w:tcPr>
            <w:tcW w:w="982" w:type="dxa"/>
            <w:vAlign w:val="center"/>
            <w:hideMark/>
          </w:tcPr>
          <w:p w:rsidR="00C110ED" w:rsidRPr="00545459" w:rsidRDefault="00C110ED" w:rsidP="00AD7126">
            <w:pPr>
              <w:jc w:val="center"/>
              <w:rPr>
                <w:b/>
                <w:bCs/>
                <w:sz w:val="20"/>
                <w:szCs w:val="20"/>
              </w:rPr>
            </w:pPr>
            <w:r w:rsidRPr="00545459">
              <w:rPr>
                <w:b/>
                <w:bCs/>
                <w:sz w:val="20"/>
                <w:szCs w:val="20"/>
              </w:rPr>
              <w:t>1</w:t>
            </w:r>
          </w:p>
        </w:tc>
        <w:tc>
          <w:tcPr>
            <w:tcW w:w="998" w:type="dxa"/>
            <w:vAlign w:val="center"/>
            <w:hideMark/>
          </w:tcPr>
          <w:p w:rsidR="00C110ED" w:rsidRPr="00545459" w:rsidRDefault="00C110ED" w:rsidP="00AD7126">
            <w:pPr>
              <w:jc w:val="center"/>
              <w:rPr>
                <w:b/>
                <w:bCs/>
                <w:sz w:val="20"/>
                <w:szCs w:val="20"/>
              </w:rPr>
            </w:pPr>
            <w:r w:rsidRPr="00545459">
              <w:rPr>
                <w:b/>
                <w:bCs/>
                <w:sz w:val="20"/>
                <w:szCs w:val="20"/>
              </w:rPr>
              <w:t>2</w:t>
            </w:r>
          </w:p>
        </w:tc>
        <w:tc>
          <w:tcPr>
            <w:tcW w:w="4819" w:type="dxa"/>
            <w:hideMark/>
          </w:tcPr>
          <w:p w:rsidR="00C110ED" w:rsidRPr="00545459" w:rsidRDefault="00C110ED" w:rsidP="00E90817">
            <w:pPr>
              <w:rPr>
                <w:b/>
                <w:bCs/>
                <w:sz w:val="20"/>
                <w:szCs w:val="20"/>
              </w:rPr>
            </w:pPr>
            <w:r w:rsidRPr="00545459">
              <w:rPr>
                <w:b/>
                <w:bCs/>
                <w:sz w:val="20"/>
                <w:szCs w:val="20"/>
              </w:rPr>
              <w:t>3</w:t>
            </w:r>
          </w:p>
        </w:tc>
        <w:tc>
          <w:tcPr>
            <w:tcW w:w="1560" w:type="dxa"/>
            <w:vAlign w:val="center"/>
            <w:hideMark/>
          </w:tcPr>
          <w:p w:rsidR="00C110ED" w:rsidRPr="00545459" w:rsidRDefault="00C110ED" w:rsidP="00AD7126">
            <w:pPr>
              <w:jc w:val="center"/>
              <w:rPr>
                <w:b/>
                <w:bCs/>
                <w:sz w:val="20"/>
                <w:szCs w:val="20"/>
              </w:rPr>
            </w:pPr>
            <w:r w:rsidRPr="00545459">
              <w:rPr>
                <w:b/>
                <w:bCs/>
                <w:sz w:val="20"/>
                <w:szCs w:val="20"/>
              </w:rPr>
              <w:t>4</w:t>
            </w:r>
          </w:p>
        </w:tc>
        <w:tc>
          <w:tcPr>
            <w:tcW w:w="1559" w:type="dxa"/>
            <w:vAlign w:val="center"/>
            <w:hideMark/>
          </w:tcPr>
          <w:p w:rsidR="00C110ED" w:rsidRPr="00545459" w:rsidRDefault="00C110ED" w:rsidP="00AD7126">
            <w:pPr>
              <w:jc w:val="center"/>
              <w:rPr>
                <w:b/>
                <w:bCs/>
                <w:sz w:val="20"/>
                <w:szCs w:val="20"/>
              </w:rPr>
            </w:pPr>
            <w:r w:rsidRPr="00545459">
              <w:rPr>
                <w:b/>
                <w:bCs/>
                <w:sz w:val="20"/>
                <w:szCs w:val="20"/>
              </w:rPr>
              <w:t>5</w:t>
            </w:r>
          </w:p>
        </w:tc>
      </w:tr>
      <w:tr w:rsidR="00C110ED" w:rsidRPr="00545459" w:rsidTr="00AD7126">
        <w:trPr>
          <w:trHeight w:val="379"/>
        </w:trPr>
        <w:tc>
          <w:tcPr>
            <w:tcW w:w="982" w:type="dxa"/>
            <w:vAlign w:val="center"/>
            <w:hideMark/>
          </w:tcPr>
          <w:p w:rsidR="00C110ED" w:rsidRPr="00545459" w:rsidRDefault="00C110ED" w:rsidP="00AD7126">
            <w:pPr>
              <w:jc w:val="center"/>
              <w:rPr>
                <w:sz w:val="20"/>
                <w:szCs w:val="20"/>
              </w:rPr>
            </w:pPr>
            <w:r w:rsidRPr="00545459">
              <w:rPr>
                <w:sz w:val="20"/>
                <w:szCs w:val="20"/>
              </w:rPr>
              <w:t>1.</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b/>
                <w:bCs/>
                <w:sz w:val="20"/>
                <w:szCs w:val="20"/>
              </w:rPr>
            </w:pPr>
            <w:r w:rsidRPr="00545459">
              <w:rPr>
                <w:b/>
                <w:bCs/>
                <w:sz w:val="20"/>
                <w:szCs w:val="20"/>
              </w:rPr>
              <w:t>I Vispārējie celtniecības darbi</w:t>
            </w:r>
          </w:p>
        </w:tc>
        <w:tc>
          <w:tcPr>
            <w:tcW w:w="1560" w:type="dxa"/>
            <w:vAlign w:val="center"/>
            <w:hideMark/>
          </w:tcPr>
          <w:p w:rsidR="00C110ED" w:rsidRPr="00545459" w:rsidRDefault="00C110ED" w:rsidP="00AD7126">
            <w:pPr>
              <w:jc w:val="center"/>
              <w:rPr>
                <w:sz w:val="20"/>
                <w:szCs w:val="20"/>
              </w:rPr>
            </w:pPr>
          </w:p>
        </w:tc>
        <w:tc>
          <w:tcPr>
            <w:tcW w:w="1559" w:type="dxa"/>
            <w:vAlign w:val="center"/>
            <w:hideMark/>
          </w:tcPr>
          <w:p w:rsidR="00C110ED" w:rsidRPr="00545459" w:rsidRDefault="00C110ED" w:rsidP="00AD7126">
            <w:pPr>
              <w:jc w:val="center"/>
              <w:rPr>
                <w:sz w:val="20"/>
                <w:szCs w:val="20"/>
              </w:rPr>
            </w:pP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2.</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b/>
                <w:bCs/>
                <w:sz w:val="20"/>
                <w:szCs w:val="20"/>
              </w:rPr>
            </w:pPr>
            <w:r w:rsidRPr="00545459">
              <w:rPr>
                <w:b/>
                <w:bCs/>
                <w:sz w:val="20"/>
                <w:szCs w:val="20"/>
              </w:rPr>
              <w:t>Demontāžas darbi</w:t>
            </w:r>
          </w:p>
        </w:tc>
        <w:tc>
          <w:tcPr>
            <w:tcW w:w="1560" w:type="dxa"/>
            <w:vAlign w:val="center"/>
            <w:hideMark/>
          </w:tcPr>
          <w:p w:rsidR="00C110ED" w:rsidRPr="00545459" w:rsidRDefault="00C110ED" w:rsidP="00AD7126">
            <w:pPr>
              <w:jc w:val="center"/>
              <w:rPr>
                <w:sz w:val="20"/>
                <w:szCs w:val="20"/>
              </w:rPr>
            </w:pPr>
          </w:p>
        </w:tc>
        <w:tc>
          <w:tcPr>
            <w:tcW w:w="1559" w:type="dxa"/>
            <w:vAlign w:val="center"/>
            <w:hideMark/>
          </w:tcPr>
          <w:p w:rsidR="00C110ED" w:rsidRPr="00545459" w:rsidRDefault="00C110ED" w:rsidP="00AD7126">
            <w:pPr>
              <w:jc w:val="center"/>
              <w:rPr>
                <w:sz w:val="20"/>
                <w:szCs w:val="20"/>
              </w:rPr>
            </w:pP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3.</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Zemes atrakšana, beto</w:t>
            </w:r>
            <w:r>
              <w:rPr>
                <w:sz w:val="20"/>
                <w:szCs w:val="20"/>
              </w:rPr>
              <w:t>na</w:t>
            </w:r>
            <w:r w:rsidRPr="00545459">
              <w:rPr>
                <w:sz w:val="20"/>
                <w:szCs w:val="20"/>
              </w:rPr>
              <w:t xml:space="preserve"> bloku demontāža( roku darbs)</w:t>
            </w:r>
          </w:p>
        </w:tc>
        <w:tc>
          <w:tcPr>
            <w:tcW w:w="1560" w:type="dxa"/>
            <w:noWrap/>
            <w:vAlign w:val="center"/>
            <w:hideMark/>
          </w:tcPr>
          <w:p w:rsidR="00C110ED" w:rsidRPr="00545459" w:rsidRDefault="00C110ED" w:rsidP="00AD7126">
            <w:pPr>
              <w:jc w:val="center"/>
              <w:rPr>
                <w:sz w:val="20"/>
                <w:szCs w:val="20"/>
              </w:rPr>
            </w:pPr>
            <w:r w:rsidRPr="00545459">
              <w:rPr>
                <w:sz w:val="20"/>
                <w:szCs w:val="20"/>
              </w:rPr>
              <w:t>h</w:t>
            </w:r>
          </w:p>
        </w:tc>
        <w:tc>
          <w:tcPr>
            <w:tcW w:w="1559" w:type="dxa"/>
            <w:noWrap/>
            <w:vAlign w:val="center"/>
            <w:hideMark/>
          </w:tcPr>
          <w:p w:rsidR="00C110ED" w:rsidRPr="00545459" w:rsidRDefault="00C110ED" w:rsidP="00AD7126">
            <w:pPr>
              <w:jc w:val="center"/>
              <w:rPr>
                <w:sz w:val="20"/>
                <w:szCs w:val="20"/>
              </w:rPr>
            </w:pPr>
            <w:r w:rsidRPr="00545459">
              <w:rPr>
                <w:sz w:val="20"/>
                <w:szCs w:val="20"/>
              </w:rPr>
              <w:t>90,0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4.</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b/>
                <w:bCs/>
                <w:sz w:val="20"/>
                <w:szCs w:val="20"/>
              </w:rPr>
            </w:pPr>
            <w:r w:rsidRPr="00545459">
              <w:rPr>
                <w:b/>
                <w:bCs/>
                <w:sz w:val="20"/>
                <w:szCs w:val="20"/>
              </w:rPr>
              <w:t>Montāžas darbi</w:t>
            </w:r>
          </w:p>
        </w:tc>
        <w:tc>
          <w:tcPr>
            <w:tcW w:w="1560" w:type="dxa"/>
            <w:noWrap/>
            <w:vAlign w:val="center"/>
            <w:hideMark/>
          </w:tcPr>
          <w:p w:rsidR="00C110ED" w:rsidRPr="00545459" w:rsidRDefault="00C110ED" w:rsidP="00AD7126">
            <w:pPr>
              <w:jc w:val="center"/>
              <w:rPr>
                <w:b/>
                <w:bCs/>
                <w:sz w:val="20"/>
                <w:szCs w:val="20"/>
              </w:rPr>
            </w:pPr>
          </w:p>
        </w:tc>
        <w:tc>
          <w:tcPr>
            <w:tcW w:w="1559" w:type="dxa"/>
            <w:noWrap/>
            <w:vAlign w:val="center"/>
            <w:hideMark/>
          </w:tcPr>
          <w:p w:rsidR="00C110ED" w:rsidRPr="00545459" w:rsidRDefault="00C110ED" w:rsidP="00AD7126">
            <w:pPr>
              <w:jc w:val="center"/>
              <w:rPr>
                <w:sz w:val="20"/>
                <w:szCs w:val="20"/>
              </w:rPr>
            </w:pP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5.</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Esošās kanalizācijas šahtas nostiprināšana un attīrīšana</w:t>
            </w:r>
          </w:p>
        </w:tc>
        <w:tc>
          <w:tcPr>
            <w:tcW w:w="1560" w:type="dxa"/>
            <w:noWrap/>
            <w:vAlign w:val="center"/>
            <w:hideMark/>
          </w:tcPr>
          <w:p w:rsidR="00C110ED" w:rsidRPr="00545459" w:rsidRDefault="00C110ED" w:rsidP="00AD7126">
            <w:pPr>
              <w:jc w:val="center"/>
              <w:rPr>
                <w:sz w:val="20"/>
                <w:szCs w:val="20"/>
              </w:rPr>
            </w:pPr>
            <w:r w:rsidRPr="00545459">
              <w:rPr>
                <w:sz w:val="20"/>
                <w:szCs w:val="20"/>
              </w:rPr>
              <w:t>gb.</w:t>
            </w:r>
          </w:p>
        </w:tc>
        <w:tc>
          <w:tcPr>
            <w:tcW w:w="1559" w:type="dxa"/>
            <w:noWrap/>
            <w:vAlign w:val="center"/>
            <w:hideMark/>
          </w:tcPr>
          <w:p w:rsidR="00C110ED" w:rsidRPr="00545459" w:rsidRDefault="00C110ED" w:rsidP="00AD7126">
            <w:pPr>
              <w:jc w:val="center"/>
              <w:rPr>
                <w:sz w:val="20"/>
                <w:szCs w:val="20"/>
              </w:rPr>
            </w:pPr>
            <w:r w:rsidRPr="00545459">
              <w:rPr>
                <w:sz w:val="20"/>
                <w:szCs w:val="20"/>
              </w:rPr>
              <w:t>1,0</w:t>
            </w: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6.</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Jaunas maģistrālās kanalizācijas caurules uzstādīšana ar veidgabaliem</w:t>
            </w:r>
          </w:p>
        </w:tc>
        <w:tc>
          <w:tcPr>
            <w:tcW w:w="1560" w:type="dxa"/>
            <w:noWrap/>
            <w:vAlign w:val="center"/>
            <w:hideMark/>
          </w:tcPr>
          <w:p w:rsidR="00C110ED" w:rsidRPr="00545459" w:rsidRDefault="00C110ED" w:rsidP="00AD7126">
            <w:pPr>
              <w:jc w:val="center"/>
              <w:rPr>
                <w:sz w:val="20"/>
                <w:szCs w:val="20"/>
              </w:rPr>
            </w:pPr>
            <w:r w:rsidRPr="00545459">
              <w:rPr>
                <w:sz w:val="20"/>
                <w:szCs w:val="20"/>
              </w:rPr>
              <w:t>t/m</w:t>
            </w:r>
          </w:p>
        </w:tc>
        <w:tc>
          <w:tcPr>
            <w:tcW w:w="1559" w:type="dxa"/>
            <w:noWrap/>
            <w:vAlign w:val="center"/>
            <w:hideMark/>
          </w:tcPr>
          <w:p w:rsidR="00C110ED" w:rsidRPr="00545459" w:rsidRDefault="00C110ED" w:rsidP="00AD7126">
            <w:pPr>
              <w:jc w:val="center"/>
              <w:rPr>
                <w:sz w:val="20"/>
                <w:szCs w:val="20"/>
              </w:rPr>
            </w:pPr>
            <w:r w:rsidRPr="00545459">
              <w:rPr>
                <w:sz w:val="20"/>
                <w:szCs w:val="20"/>
              </w:rPr>
              <w:t>3,0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7.</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Smilts pabēruma izveide un blietēšana</w:t>
            </w:r>
          </w:p>
        </w:tc>
        <w:tc>
          <w:tcPr>
            <w:tcW w:w="1560" w:type="dxa"/>
            <w:noWrap/>
            <w:vAlign w:val="center"/>
            <w:hideMark/>
          </w:tcPr>
          <w:p w:rsidR="00C110ED" w:rsidRPr="00545459" w:rsidRDefault="00C110ED" w:rsidP="00AD7126">
            <w:pPr>
              <w:jc w:val="center"/>
              <w:rPr>
                <w:sz w:val="20"/>
                <w:szCs w:val="20"/>
              </w:rPr>
            </w:pPr>
            <w:r w:rsidRPr="00545459">
              <w:rPr>
                <w:sz w:val="20"/>
                <w:szCs w:val="20"/>
              </w:rPr>
              <w:t>kv/m</w:t>
            </w:r>
          </w:p>
        </w:tc>
        <w:tc>
          <w:tcPr>
            <w:tcW w:w="1559" w:type="dxa"/>
            <w:noWrap/>
            <w:vAlign w:val="center"/>
            <w:hideMark/>
          </w:tcPr>
          <w:p w:rsidR="00C110ED" w:rsidRPr="00545459" w:rsidRDefault="00C110ED" w:rsidP="00AD7126">
            <w:pPr>
              <w:jc w:val="center"/>
              <w:rPr>
                <w:sz w:val="20"/>
                <w:szCs w:val="20"/>
              </w:rPr>
            </w:pPr>
            <w:r w:rsidRPr="00545459">
              <w:rPr>
                <w:sz w:val="20"/>
                <w:szCs w:val="20"/>
              </w:rPr>
              <w:t>10,0</w:t>
            </w: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8.</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Notekrenes uzstādīšana un p</w:t>
            </w:r>
            <w:r w:rsidR="00282448">
              <w:rPr>
                <w:sz w:val="20"/>
                <w:szCs w:val="20"/>
              </w:rPr>
              <w:t xml:space="preserve">ieslēgšana </w:t>
            </w:r>
            <w:r w:rsidRPr="00545459">
              <w:rPr>
                <w:sz w:val="20"/>
                <w:szCs w:val="20"/>
              </w:rPr>
              <w:t>kanalizācijai</w:t>
            </w:r>
          </w:p>
        </w:tc>
        <w:tc>
          <w:tcPr>
            <w:tcW w:w="1560" w:type="dxa"/>
            <w:noWrap/>
            <w:vAlign w:val="center"/>
            <w:hideMark/>
          </w:tcPr>
          <w:p w:rsidR="00C110ED" w:rsidRPr="00545459" w:rsidRDefault="00C110ED" w:rsidP="00AD7126">
            <w:pPr>
              <w:jc w:val="center"/>
              <w:rPr>
                <w:sz w:val="20"/>
                <w:szCs w:val="20"/>
              </w:rPr>
            </w:pPr>
            <w:r w:rsidRPr="00545459">
              <w:rPr>
                <w:sz w:val="20"/>
                <w:szCs w:val="20"/>
              </w:rPr>
              <w:t>gb.</w:t>
            </w:r>
          </w:p>
        </w:tc>
        <w:tc>
          <w:tcPr>
            <w:tcW w:w="1559" w:type="dxa"/>
            <w:noWrap/>
            <w:vAlign w:val="center"/>
            <w:hideMark/>
          </w:tcPr>
          <w:p w:rsidR="00C110ED" w:rsidRPr="00545459" w:rsidRDefault="00C110ED" w:rsidP="00AD7126">
            <w:pPr>
              <w:jc w:val="center"/>
              <w:rPr>
                <w:sz w:val="20"/>
                <w:szCs w:val="20"/>
              </w:rPr>
            </w:pPr>
            <w:r w:rsidRPr="00545459">
              <w:rPr>
                <w:sz w:val="20"/>
                <w:szCs w:val="20"/>
              </w:rPr>
              <w:t>1,0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9.</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b/>
                <w:bCs/>
                <w:sz w:val="20"/>
                <w:szCs w:val="20"/>
              </w:rPr>
            </w:pPr>
            <w:r w:rsidRPr="00545459">
              <w:rPr>
                <w:b/>
                <w:bCs/>
                <w:sz w:val="20"/>
                <w:szCs w:val="20"/>
              </w:rPr>
              <w:t>Bruģakmens ieklāšana</w:t>
            </w:r>
          </w:p>
        </w:tc>
        <w:tc>
          <w:tcPr>
            <w:tcW w:w="1560" w:type="dxa"/>
            <w:noWrap/>
            <w:vAlign w:val="center"/>
            <w:hideMark/>
          </w:tcPr>
          <w:p w:rsidR="00C110ED" w:rsidRPr="00545459" w:rsidRDefault="00C110ED" w:rsidP="00AD7126">
            <w:pPr>
              <w:jc w:val="center"/>
              <w:rPr>
                <w:sz w:val="20"/>
                <w:szCs w:val="20"/>
              </w:rPr>
            </w:pPr>
          </w:p>
        </w:tc>
        <w:tc>
          <w:tcPr>
            <w:tcW w:w="1559" w:type="dxa"/>
            <w:noWrap/>
            <w:vAlign w:val="center"/>
            <w:hideMark/>
          </w:tcPr>
          <w:p w:rsidR="00C110ED" w:rsidRPr="00545459" w:rsidRDefault="00C110ED" w:rsidP="00AD7126">
            <w:pPr>
              <w:jc w:val="center"/>
              <w:rPr>
                <w:sz w:val="20"/>
                <w:szCs w:val="20"/>
              </w:rPr>
            </w:pP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10.</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Pamatnes sagatavošana, bruģakmens ieklāšanai</w:t>
            </w:r>
          </w:p>
        </w:tc>
        <w:tc>
          <w:tcPr>
            <w:tcW w:w="1560" w:type="dxa"/>
            <w:noWrap/>
            <w:vAlign w:val="center"/>
            <w:hideMark/>
          </w:tcPr>
          <w:p w:rsidR="00C110ED" w:rsidRPr="00545459" w:rsidRDefault="00C110ED" w:rsidP="00AD7126">
            <w:pPr>
              <w:jc w:val="center"/>
              <w:rPr>
                <w:sz w:val="20"/>
                <w:szCs w:val="20"/>
              </w:rPr>
            </w:pPr>
            <w:r w:rsidRPr="00545459">
              <w:rPr>
                <w:sz w:val="20"/>
                <w:szCs w:val="20"/>
              </w:rPr>
              <w:t>kv/m</w:t>
            </w:r>
          </w:p>
        </w:tc>
        <w:tc>
          <w:tcPr>
            <w:tcW w:w="1559" w:type="dxa"/>
            <w:noWrap/>
            <w:vAlign w:val="center"/>
            <w:hideMark/>
          </w:tcPr>
          <w:p w:rsidR="00C110ED" w:rsidRPr="00545459" w:rsidRDefault="00C110ED" w:rsidP="00AD7126">
            <w:pPr>
              <w:jc w:val="center"/>
              <w:rPr>
                <w:sz w:val="20"/>
                <w:szCs w:val="20"/>
              </w:rPr>
            </w:pPr>
            <w:r w:rsidRPr="00545459">
              <w:rPr>
                <w:sz w:val="20"/>
                <w:szCs w:val="20"/>
              </w:rPr>
              <w:t>15,0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11.</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Jauns bruģakmens</w:t>
            </w:r>
          </w:p>
        </w:tc>
        <w:tc>
          <w:tcPr>
            <w:tcW w:w="1560" w:type="dxa"/>
            <w:noWrap/>
            <w:vAlign w:val="center"/>
            <w:hideMark/>
          </w:tcPr>
          <w:p w:rsidR="00C110ED" w:rsidRPr="00545459" w:rsidRDefault="00C110ED" w:rsidP="00AD7126">
            <w:pPr>
              <w:jc w:val="center"/>
              <w:rPr>
                <w:sz w:val="20"/>
                <w:szCs w:val="20"/>
              </w:rPr>
            </w:pPr>
            <w:r w:rsidRPr="00545459">
              <w:rPr>
                <w:sz w:val="20"/>
                <w:szCs w:val="20"/>
              </w:rPr>
              <w:t>kv/m</w:t>
            </w:r>
          </w:p>
        </w:tc>
        <w:tc>
          <w:tcPr>
            <w:tcW w:w="1559" w:type="dxa"/>
            <w:noWrap/>
            <w:vAlign w:val="center"/>
            <w:hideMark/>
          </w:tcPr>
          <w:p w:rsidR="00C110ED" w:rsidRPr="00545459" w:rsidRDefault="00C110ED" w:rsidP="00AD7126">
            <w:pPr>
              <w:jc w:val="center"/>
              <w:rPr>
                <w:sz w:val="20"/>
                <w:szCs w:val="20"/>
              </w:rPr>
            </w:pPr>
            <w:r w:rsidRPr="00545459">
              <w:rPr>
                <w:sz w:val="20"/>
                <w:szCs w:val="20"/>
              </w:rPr>
              <w:t>15,0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12.</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Smilts</w:t>
            </w:r>
          </w:p>
        </w:tc>
        <w:tc>
          <w:tcPr>
            <w:tcW w:w="1560" w:type="dxa"/>
            <w:noWrap/>
            <w:vAlign w:val="center"/>
            <w:hideMark/>
          </w:tcPr>
          <w:p w:rsidR="00C110ED" w:rsidRPr="00545459" w:rsidRDefault="00C110ED" w:rsidP="00AD7126">
            <w:pPr>
              <w:jc w:val="center"/>
              <w:rPr>
                <w:sz w:val="20"/>
                <w:szCs w:val="20"/>
              </w:rPr>
            </w:pPr>
            <w:r w:rsidRPr="00545459">
              <w:rPr>
                <w:sz w:val="20"/>
                <w:szCs w:val="20"/>
              </w:rPr>
              <w:t>kub/m</w:t>
            </w:r>
          </w:p>
        </w:tc>
        <w:tc>
          <w:tcPr>
            <w:tcW w:w="1559" w:type="dxa"/>
            <w:noWrap/>
            <w:vAlign w:val="center"/>
            <w:hideMark/>
          </w:tcPr>
          <w:p w:rsidR="00C110ED" w:rsidRPr="00545459" w:rsidRDefault="00C110ED" w:rsidP="00AD7126">
            <w:pPr>
              <w:jc w:val="center"/>
              <w:rPr>
                <w:sz w:val="20"/>
                <w:szCs w:val="20"/>
              </w:rPr>
            </w:pPr>
            <w:r w:rsidRPr="00545459">
              <w:rPr>
                <w:sz w:val="20"/>
                <w:szCs w:val="20"/>
              </w:rPr>
              <w:t>10,0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13.</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Cements</w:t>
            </w:r>
          </w:p>
        </w:tc>
        <w:tc>
          <w:tcPr>
            <w:tcW w:w="1560" w:type="dxa"/>
            <w:noWrap/>
            <w:vAlign w:val="center"/>
            <w:hideMark/>
          </w:tcPr>
          <w:p w:rsidR="00C110ED" w:rsidRPr="00545459" w:rsidRDefault="00C110ED" w:rsidP="00AD7126">
            <w:pPr>
              <w:jc w:val="center"/>
              <w:rPr>
                <w:sz w:val="20"/>
                <w:szCs w:val="20"/>
              </w:rPr>
            </w:pPr>
            <w:r w:rsidRPr="00545459">
              <w:rPr>
                <w:sz w:val="20"/>
                <w:szCs w:val="20"/>
              </w:rPr>
              <w:t>gb.</w:t>
            </w:r>
          </w:p>
        </w:tc>
        <w:tc>
          <w:tcPr>
            <w:tcW w:w="1559" w:type="dxa"/>
            <w:noWrap/>
            <w:vAlign w:val="center"/>
            <w:hideMark/>
          </w:tcPr>
          <w:p w:rsidR="00C110ED" w:rsidRPr="00545459" w:rsidRDefault="00C110ED" w:rsidP="00AD7126">
            <w:pPr>
              <w:jc w:val="center"/>
              <w:rPr>
                <w:sz w:val="20"/>
                <w:szCs w:val="20"/>
              </w:rPr>
            </w:pPr>
            <w:r w:rsidRPr="00545459">
              <w:rPr>
                <w:sz w:val="20"/>
                <w:szCs w:val="20"/>
              </w:rPr>
              <w:t>10,0</w:t>
            </w: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14.</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b/>
                <w:bCs/>
                <w:sz w:val="20"/>
                <w:szCs w:val="20"/>
              </w:rPr>
            </w:pPr>
            <w:r w:rsidRPr="00545459">
              <w:rPr>
                <w:b/>
                <w:bCs/>
                <w:sz w:val="20"/>
                <w:szCs w:val="20"/>
              </w:rPr>
              <w:t>Citi darbi</w:t>
            </w:r>
          </w:p>
        </w:tc>
        <w:tc>
          <w:tcPr>
            <w:tcW w:w="1560" w:type="dxa"/>
            <w:noWrap/>
            <w:vAlign w:val="center"/>
            <w:hideMark/>
          </w:tcPr>
          <w:p w:rsidR="00C110ED" w:rsidRPr="00545459" w:rsidRDefault="00C110ED" w:rsidP="00AD7126">
            <w:pPr>
              <w:jc w:val="center"/>
              <w:rPr>
                <w:sz w:val="20"/>
                <w:szCs w:val="20"/>
              </w:rPr>
            </w:pPr>
          </w:p>
        </w:tc>
        <w:tc>
          <w:tcPr>
            <w:tcW w:w="1559" w:type="dxa"/>
            <w:noWrap/>
            <w:vAlign w:val="center"/>
            <w:hideMark/>
          </w:tcPr>
          <w:p w:rsidR="00C110ED" w:rsidRPr="00545459" w:rsidRDefault="00C110ED" w:rsidP="00AD7126">
            <w:pPr>
              <w:jc w:val="center"/>
              <w:rPr>
                <w:sz w:val="20"/>
                <w:szCs w:val="20"/>
              </w:rPr>
            </w:pPr>
          </w:p>
        </w:tc>
      </w:tr>
      <w:tr w:rsidR="00C110ED" w:rsidRPr="00545459" w:rsidTr="00AD7126">
        <w:trPr>
          <w:trHeight w:val="300"/>
        </w:trPr>
        <w:tc>
          <w:tcPr>
            <w:tcW w:w="982" w:type="dxa"/>
            <w:vAlign w:val="center"/>
            <w:hideMark/>
          </w:tcPr>
          <w:p w:rsidR="00C110ED" w:rsidRPr="00545459" w:rsidRDefault="00C110ED" w:rsidP="00AD7126">
            <w:pPr>
              <w:jc w:val="center"/>
              <w:rPr>
                <w:sz w:val="20"/>
                <w:szCs w:val="20"/>
              </w:rPr>
            </w:pPr>
            <w:r w:rsidRPr="00545459">
              <w:rPr>
                <w:sz w:val="20"/>
                <w:szCs w:val="20"/>
              </w:rPr>
              <w:t>15.</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Zemes darbi, zāliena atjaunošana</w:t>
            </w:r>
          </w:p>
        </w:tc>
        <w:tc>
          <w:tcPr>
            <w:tcW w:w="1560" w:type="dxa"/>
            <w:noWrap/>
            <w:vAlign w:val="center"/>
            <w:hideMark/>
          </w:tcPr>
          <w:p w:rsidR="00C110ED" w:rsidRPr="00545459" w:rsidRDefault="00C110ED" w:rsidP="00AD7126">
            <w:pPr>
              <w:jc w:val="center"/>
              <w:rPr>
                <w:sz w:val="20"/>
                <w:szCs w:val="20"/>
              </w:rPr>
            </w:pPr>
            <w:r w:rsidRPr="00545459">
              <w:rPr>
                <w:sz w:val="20"/>
                <w:szCs w:val="20"/>
              </w:rPr>
              <w:t>kv/m</w:t>
            </w:r>
          </w:p>
        </w:tc>
        <w:tc>
          <w:tcPr>
            <w:tcW w:w="1559" w:type="dxa"/>
            <w:noWrap/>
            <w:vAlign w:val="center"/>
            <w:hideMark/>
          </w:tcPr>
          <w:p w:rsidR="00C110ED" w:rsidRPr="00545459" w:rsidRDefault="00C110ED" w:rsidP="00AD7126">
            <w:pPr>
              <w:jc w:val="center"/>
              <w:rPr>
                <w:sz w:val="20"/>
                <w:szCs w:val="20"/>
              </w:rPr>
            </w:pPr>
            <w:r w:rsidRPr="00545459">
              <w:rPr>
                <w:sz w:val="20"/>
                <w:szCs w:val="20"/>
              </w:rPr>
              <w:t>10,0</w:t>
            </w:r>
          </w:p>
        </w:tc>
      </w:tr>
      <w:tr w:rsidR="00C110ED" w:rsidRPr="00545459" w:rsidTr="00AD7126">
        <w:trPr>
          <w:trHeight w:val="600"/>
        </w:trPr>
        <w:tc>
          <w:tcPr>
            <w:tcW w:w="982" w:type="dxa"/>
            <w:vAlign w:val="center"/>
            <w:hideMark/>
          </w:tcPr>
          <w:p w:rsidR="00C110ED" w:rsidRPr="00545459" w:rsidRDefault="00C110ED" w:rsidP="00AD7126">
            <w:pPr>
              <w:jc w:val="center"/>
              <w:rPr>
                <w:sz w:val="20"/>
                <w:szCs w:val="20"/>
              </w:rPr>
            </w:pPr>
            <w:r w:rsidRPr="00545459">
              <w:rPr>
                <w:sz w:val="20"/>
                <w:szCs w:val="20"/>
              </w:rPr>
              <w:t>16.</w:t>
            </w:r>
          </w:p>
        </w:tc>
        <w:tc>
          <w:tcPr>
            <w:tcW w:w="998" w:type="dxa"/>
            <w:vAlign w:val="center"/>
          </w:tcPr>
          <w:p w:rsidR="00C110ED" w:rsidRPr="00545459" w:rsidRDefault="00C110ED" w:rsidP="00AD7126">
            <w:pPr>
              <w:jc w:val="center"/>
              <w:rPr>
                <w:sz w:val="20"/>
                <w:szCs w:val="20"/>
              </w:rPr>
            </w:pPr>
          </w:p>
        </w:tc>
        <w:tc>
          <w:tcPr>
            <w:tcW w:w="4819" w:type="dxa"/>
            <w:hideMark/>
          </w:tcPr>
          <w:p w:rsidR="00C110ED" w:rsidRPr="00545459" w:rsidRDefault="00C110ED" w:rsidP="00E90817">
            <w:pPr>
              <w:rPr>
                <w:sz w:val="20"/>
                <w:szCs w:val="20"/>
              </w:rPr>
            </w:pPr>
            <w:r w:rsidRPr="00545459">
              <w:rPr>
                <w:sz w:val="20"/>
                <w:szCs w:val="20"/>
              </w:rPr>
              <w:t>Betona bloku un citu būvgružu izvešana</w:t>
            </w:r>
          </w:p>
        </w:tc>
        <w:tc>
          <w:tcPr>
            <w:tcW w:w="1560" w:type="dxa"/>
            <w:noWrap/>
            <w:vAlign w:val="center"/>
            <w:hideMark/>
          </w:tcPr>
          <w:p w:rsidR="00C110ED" w:rsidRPr="00545459" w:rsidRDefault="00C110ED" w:rsidP="00AD7126">
            <w:pPr>
              <w:jc w:val="center"/>
              <w:rPr>
                <w:sz w:val="20"/>
                <w:szCs w:val="20"/>
              </w:rPr>
            </w:pPr>
            <w:r w:rsidRPr="00545459">
              <w:rPr>
                <w:sz w:val="20"/>
                <w:szCs w:val="20"/>
              </w:rPr>
              <w:t>gb.</w:t>
            </w:r>
          </w:p>
        </w:tc>
        <w:tc>
          <w:tcPr>
            <w:tcW w:w="1559" w:type="dxa"/>
            <w:noWrap/>
            <w:vAlign w:val="center"/>
            <w:hideMark/>
          </w:tcPr>
          <w:p w:rsidR="00C110ED" w:rsidRPr="00545459" w:rsidRDefault="00C110ED" w:rsidP="00AD7126">
            <w:pPr>
              <w:jc w:val="center"/>
              <w:rPr>
                <w:sz w:val="20"/>
                <w:szCs w:val="20"/>
              </w:rPr>
            </w:pPr>
            <w:r w:rsidRPr="00545459">
              <w:rPr>
                <w:sz w:val="20"/>
                <w:szCs w:val="20"/>
              </w:rPr>
              <w:t>1,0</w:t>
            </w:r>
          </w:p>
        </w:tc>
      </w:tr>
    </w:tbl>
    <w:p w:rsidR="00282448" w:rsidRDefault="00282448"/>
    <w:p w:rsidR="00282448" w:rsidRPr="003A7230" w:rsidRDefault="00282448" w:rsidP="00282448">
      <w:pPr>
        <w:ind w:firstLine="709"/>
        <w:jc w:val="both"/>
      </w:pPr>
      <w:r w:rsidRPr="003A7230">
        <w:t>Norādītajiem darbiem ir informatīvs raksturs un lai precīzi noteiktu darbu apjomu un izmērus, kā arī lai saņemtu papildus informāciju, pretendentiem jāveic būvobjekta apskate.</w:t>
      </w:r>
    </w:p>
    <w:p w:rsidR="00282448" w:rsidRDefault="00282448" w:rsidP="00AD7126">
      <w:pPr>
        <w:ind w:firstLine="720"/>
      </w:pPr>
    </w:p>
    <w:p w:rsidR="00282448" w:rsidRDefault="00282448" w:rsidP="00282448"/>
    <w:p w:rsidR="00000000" w:rsidRDefault="004F6E38">
      <w:pPr>
        <w:sectPr w:rsidR="00000000" w:rsidSect="00AD7126">
          <w:pgSz w:w="11906" w:h="16838"/>
          <w:pgMar w:top="1134" w:right="851" w:bottom="1134" w:left="1134" w:header="709" w:footer="709" w:gutter="0"/>
          <w:cols w:space="708"/>
          <w:titlePg/>
          <w:docGrid w:linePitch="360"/>
        </w:sectPr>
      </w:pP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71</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291EAA" w:rsidRPr="00291EAA">
        <w:t xml:space="preserve">Iļģuciema cietuma kanalizācijas </w:t>
      </w:r>
      <w:r w:rsidR="00291EAA">
        <w:t>avārijas remonts"</w:t>
      </w:r>
      <w:r w:rsidR="00291EAA" w:rsidRPr="00291EAA">
        <w:rPr>
          <w:highlight w:val="yellow"/>
        </w:rPr>
        <w:t xml:space="preserve"> </w:t>
      </w:r>
      <w:r w:rsidRPr="00D95B60">
        <w:t>(iepirkuma identifikācijas Nr. IeVP 2018/</w:t>
      </w:r>
      <w:r w:rsidR="00291EAA" w:rsidRPr="00291EAA">
        <w:t>71</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510"/>
      </w:tblGrid>
      <w:tr w:rsidR="00D95B60" w:rsidRPr="00D95B60" w:rsidTr="00291EAA">
        <w:tc>
          <w:tcPr>
            <w:tcW w:w="6124" w:type="dxa"/>
            <w:vAlign w:val="center"/>
          </w:tcPr>
          <w:p w:rsidR="00D95B60" w:rsidRPr="00D95B60" w:rsidRDefault="00D95B60" w:rsidP="00D95B60">
            <w:pPr>
              <w:suppressAutoHyphens/>
              <w:jc w:val="center"/>
              <w:rPr>
                <w:bCs/>
              </w:rPr>
            </w:pPr>
            <w:r w:rsidRPr="00D95B60">
              <w:rPr>
                <w:bCs/>
              </w:rPr>
              <w:t>Nosaukums</w:t>
            </w:r>
          </w:p>
        </w:tc>
        <w:tc>
          <w:tcPr>
            <w:tcW w:w="3510" w:type="dxa"/>
            <w:vAlign w:val="center"/>
          </w:tcPr>
          <w:p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rsidTr="00291EAA">
        <w:tc>
          <w:tcPr>
            <w:tcW w:w="6124" w:type="dxa"/>
            <w:vAlign w:val="center"/>
          </w:tcPr>
          <w:p w:rsidR="00D95B60" w:rsidRPr="00D95B60" w:rsidRDefault="00291EAA" w:rsidP="00D95B60">
            <w:pPr>
              <w:widowControl w:val="0"/>
              <w:tabs>
                <w:tab w:val="left" w:pos="360"/>
              </w:tabs>
              <w:jc w:val="both"/>
            </w:pPr>
            <w:r w:rsidRPr="00291EAA">
              <w:t>Iļģuciema cietuma kanalizācijas avārijas remonts</w:t>
            </w:r>
          </w:p>
        </w:tc>
        <w:tc>
          <w:tcPr>
            <w:tcW w:w="3510" w:type="dxa"/>
            <w:vAlign w:val="center"/>
          </w:tcPr>
          <w:p w:rsidR="00D95B60" w:rsidRPr="00D95B60" w:rsidRDefault="00D95B60"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C734FD">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D95B60" w:rsidRPr="00D95B60" w:rsidTr="00C734FD">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C734FD">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D95B60">
        <w:rPr>
          <w:lang w:eastAsia="lv-LV"/>
        </w:rPr>
        <w:t xml:space="preserve">Pielikumā tāme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r w:rsidR="00291EAA">
        <w:rPr>
          <w:lang w:eastAsia="lv-LV"/>
        </w:rPr>
        <w:t>Būvizmaksu noteikšanas kārtība"''</w:t>
      </w:r>
      <w:r w:rsidRPr="00D95B60">
        <w:rPr>
          <w:lang w:eastAsia="lv-LV"/>
        </w:rPr>
        <w:t>).</w:t>
      </w:r>
    </w:p>
    <w:p w:rsidR="00D95B60" w:rsidRPr="00D95B60" w:rsidRDefault="00D95B60" w:rsidP="00D95B60"/>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(Nr. IeVP 2018/</w:t>
      </w:r>
      <w:r w:rsidR="00291EAA" w:rsidRPr="00291EAA">
        <w:t>71</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291EAA" w:rsidRPr="00291EAA">
        <w:t>Iļģuciema cietuma kanalizācijas avārijas remonts</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291EAA" w:rsidRPr="00291EAA">
        <w:rPr>
          <w:rFonts w:eastAsia="Calibri"/>
        </w:rPr>
        <w:t>71</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291EAA" w:rsidRPr="00291EAA">
        <w:t>Iļģuciema cietuma kanalizācijas avārijas remonts</w:t>
      </w:r>
      <w:r w:rsidRPr="00D95B60">
        <w:t>" (iepirkuma identifikācijas Nr. IeVP 2018/</w:t>
      </w:r>
      <w:r w:rsidR="00291EAA">
        <w:t>71</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
    <w:p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E38" w:rsidRDefault="004F6E38">
      <w:r>
        <w:separator/>
      </w:r>
    </w:p>
  </w:endnote>
  <w:endnote w:type="continuationSeparator" w:id="0">
    <w:p w:rsidR="004F6E38" w:rsidRDefault="004F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E38" w:rsidRDefault="004F6E38">
      <w:r>
        <w:separator/>
      </w:r>
    </w:p>
  </w:footnote>
  <w:footnote w:type="continuationSeparator" w:id="0">
    <w:p w:rsidR="004F6E38" w:rsidRDefault="004F6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2B49BA">
      <w:rPr>
        <w:noProof/>
      </w:rPr>
      <w:t>2</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0C7C"/>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6E38"/>
    <w:rsid w:val="004F7E2A"/>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5459"/>
    <w:rsid w:val="005462F1"/>
    <w:rsid w:val="005523D5"/>
    <w:rsid w:val="00552921"/>
    <w:rsid w:val="00562D8C"/>
    <w:rsid w:val="005662BB"/>
    <w:rsid w:val="00566B57"/>
    <w:rsid w:val="00571305"/>
    <w:rsid w:val="00574D49"/>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E74"/>
    <w:rsid w:val="00895073"/>
    <w:rsid w:val="00896F4A"/>
    <w:rsid w:val="008A214F"/>
    <w:rsid w:val="008A6727"/>
    <w:rsid w:val="008A6BC7"/>
    <w:rsid w:val="008A7F5B"/>
    <w:rsid w:val="008B31D2"/>
    <w:rsid w:val="008B393D"/>
    <w:rsid w:val="008C2092"/>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10ED"/>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adimirs.kaigorodov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A5147-91EF-46CB-8606-66F6A0BA0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6392</Words>
  <Characters>3645</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10017</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2</cp:revision>
  <cp:lastPrinted>2018-07-23T07:18:00Z</cp:lastPrinted>
  <dcterms:created xsi:type="dcterms:W3CDTF">2018-07-23T07:18:00Z</dcterms:created>
  <dcterms:modified xsi:type="dcterms:W3CDTF">2018-07-23T07:18:00Z</dcterms:modified>
</cp:coreProperties>
</file>